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B359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13.06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C208B2" w:rsidRDefault="00F55E01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42166B">
        <w:rPr>
          <w:rFonts w:ascii="Times New Roman" w:hAnsi="Times New Roman" w:cs="Times New Roman"/>
          <w:sz w:val="24"/>
          <w:szCs w:val="24"/>
        </w:rPr>
        <w:t xml:space="preserve">i ugradnja betonskih proizvoda na </w:t>
      </w:r>
      <w:r w:rsidR="00E82A6F">
        <w:rPr>
          <w:rFonts w:ascii="Times New Roman" w:hAnsi="Times New Roman" w:cs="Times New Roman"/>
          <w:sz w:val="24"/>
          <w:szCs w:val="24"/>
        </w:rPr>
        <w:t>više lokacija na teritoriji opštine Bar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55D7" w:rsidRPr="008D2D43" w:rsidRDefault="00536436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42166B"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5.000</w:t>
      </w:r>
      <w:r w:rsidR="00B36EA2"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,00</w:t>
      </w:r>
      <w:r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84"/>
        <w:gridCol w:w="2732"/>
        <w:gridCol w:w="4134"/>
        <w:gridCol w:w="1051"/>
        <w:gridCol w:w="940"/>
      </w:tblGrid>
      <w:tr w:rsidR="007105BD" w:rsidTr="000504DA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eastAsia="sr-Latn-CS"/>
              </w:rPr>
            </w:pPr>
            <w:r>
              <w:rPr>
                <w:rFonts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Opis predmeta nabavke</w:t>
            </w:r>
          </w:p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0504D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A2034B" w:rsidTr="00A2034B">
        <w:trPr>
          <w:trHeight w:val="365"/>
          <w:jc w:val="center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27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2034B" w:rsidRDefault="00A2034B" w:rsidP="00A2034B">
            <w:pPr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Nabavka i ugradnja betonskih proizvoda</w:t>
            </w:r>
          </w:p>
          <w:p w:rsidR="00A2034B" w:rsidRDefault="00A2034B" w:rsidP="00A2034B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  <w:p w:rsidR="00A2034B" w:rsidRDefault="00A2034B" w:rsidP="00A203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Šetalište u Baru (kod kafea “Planet”)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 </w:t>
            </w:r>
          </w:p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1</w:t>
            </w:r>
          </w:p>
        </w:tc>
      </w:tr>
      <w:tr w:rsidR="00A2034B" w:rsidTr="00A2034B">
        <w:trPr>
          <w:trHeight w:val="61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Default="00A2034B" w:rsidP="000504DA">
            <w:pPr>
              <w:tabs>
                <w:tab w:val="left" w:pos="380"/>
              </w:tabs>
            </w:pPr>
            <w:r>
              <w:t xml:space="preserve">Betonska </w:t>
            </w:r>
            <w:r w:rsidRPr="006352DB">
              <w:t xml:space="preserve"> </w:t>
            </w:r>
            <w:r>
              <w:t>žardinjera, 100x45 h60 cm, težine 200 kg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A2034B">
        <w:trPr>
          <w:trHeight w:val="36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C66761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  <w:b/>
              </w:rPr>
            </w:pPr>
            <w:r w:rsidRPr="00C66761">
              <w:rPr>
                <w:rFonts w:cs="Times New Roman"/>
                <w:b/>
              </w:rPr>
              <w:t>Šetalište na Žukotrlici</w:t>
            </w:r>
            <w:r>
              <w:rPr>
                <w:rFonts w:cs="Times New Roman"/>
                <w:b/>
              </w:rPr>
              <w:t xml:space="preserve"> (kod restorana “BB”)</w:t>
            </w:r>
          </w:p>
        </w:tc>
        <w:tc>
          <w:tcPr>
            <w:tcW w:w="1051" w:type="dxa"/>
            <w:vMerge w:val="restart"/>
            <w:tcBorders>
              <w:top w:val="thinThickSmallGap" w:sz="24" w:space="0" w:color="auto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Kom.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2</w:t>
            </w:r>
          </w:p>
        </w:tc>
      </w:tr>
      <w:tr w:rsidR="00A2034B" w:rsidTr="00A2034B">
        <w:trPr>
          <w:trHeight w:val="63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Teške betonske žardinjere, FI 140 cm, h 60 cm, težine 1000kg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BA4A97">
        <w:trPr>
          <w:trHeight w:val="3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92128D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Šetalište u Šušnju (kod kuće Lekovića)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Kom.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4</w:t>
            </w:r>
          </w:p>
        </w:tc>
      </w:tr>
      <w:tr w:rsidR="00A2034B" w:rsidTr="00A2034B">
        <w:trPr>
          <w:trHeight w:val="22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Betonske žardinjere fi 90 cm h 80 cm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A2034B">
        <w:trPr>
          <w:trHeight w:val="34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Taxi stajalište na Topolici “13 jul”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1</w:t>
            </w:r>
          </w:p>
        </w:tc>
      </w:tr>
      <w:tr w:rsidR="00A2034B" w:rsidTr="00A2034B">
        <w:trPr>
          <w:trHeight w:val="493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Žardinjera 100x45 h 50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A2034B">
            <w:pPr>
              <w:spacing w:before="15" w:after="200"/>
              <w:ind w:right="-20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A2034B">
            <w:pPr>
              <w:spacing w:before="15" w:after="200"/>
              <w:ind w:right="520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BA4A97">
        <w:trPr>
          <w:trHeight w:val="25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Stari Bar</w:t>
            </w:r>
          </w:p>
        </w:tc>
        <w:tc>
          <w:tcPr>
            <w:tcW w:w="1051" w:type="dxa"/>
            <w:vMerge w:val="restart"/>
            <w:tcBorders>
              <w:top w:val="thinThickSmallGap" w:sz="24" w:space="0" w:color="auto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A2034B">
            <w:pPr>
              <w:spacing w:before="15" w:after="200"/>
              <w:ind w:right="-20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EF08FB" w:rsidP="00A2034B">
            <w:pPr>
              <w:spacing w:before="15" w:after="200"/>
              <w:ind w:right="520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2</w:t>
            </w:r>
          </w:p>
        </w:tc>
      </w:tr>
      <w:tr w:rsidR="00A2034B" w:rsidTr="00BA4A97">
        <w:trPr>
          <w:trHeight w:val="24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Žardinjere fi 90 h 80 cm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0701CE">
        <w:trPr>
          <w:trHeight w:val="28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643A08">
              <w:rPr>
                <w:rFonts w:cs="Times New Roman"/>
                <w:b/>
              </w:rPr>
              <w:t>Sutomore (kod HTP “Korali” i kod spomenika Iva Novakovića</w:t>
            </w:r>
          </w:p>
        </w:tc>
        <w:tc>
          <w:tcPr>
            <w:tcW w:w="1051" w:type="dxa"/>
            <w:vMerge w:val="restart"/>
            <w:tcBorders>
              <w:top w:val="thinThickSmallGap" w:sz="24" w:space="0" w:color="auto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701CE">
            <w:pPr>
              <w:spacing w:before="15" w:after="200"/>
              <w:ind w:right="-20"/>
              <w:rPr>
                <w:rFonts w:eastAsia="Times New Roman" w:cs="Times New Roman"/>
                <w:color w:val="3A3B48"/>
                <w:w w:val="103"/>
              </w:rPr>
            </w:pPr>
          </w:p>
          <w:p w:rsidR="00A2034B" w:rsidRDefault="00A2034B" w:rsidP="000701CE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701CE">
            <w:pPr>
              <w:spacing w:before="15" w:after="200"/>
              <w:ind w:right="520"/>
              <w:rPr>
                <w:rFonts w:eastAsia="Times New Roman" w:cs="Times New Roman"/>
                <w:color w:val="3A3B48"/>
                <w:w w:val="101"/>
              </w:rPr>
            </w:pPr>
          </w:p>
          <w:p w:rsidR="00A2034B" w:rsidRDefault="000701CE" w:rsidP="000701CE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4</w:t>
            </w:r>
          </w:p>
        </w:tc>
      </w:tr>
      <w:tr w:rsidR="00A2034B" w:rsidTr="00BA4A97">
        <w:trPr>
          <w:trHeight w:val="21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Žardinjere fi 90 h 80cm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BA4A97">
        <w:trPr>
          <w:trHeight w:val="24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643A08">
              <w:rPr>
                <w:rFonts w:cs="Times New Roman"/>
                <w:b/>
              </w:rPr>
              <w:t>Šušanj (dionica nakon uključenja na Barsko šetalište)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2</w:t>
            </w:r>
          </w:p>
        </w:tc>
      </w:tr>
      <w:tr w:rsidR="00A2034B" w:rsidTr="00BA4A97">
        <w:trPr>
          <w:trHeight w:val="36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Betonske žardinjere fi 90 h 80 cm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thinThickSmallGap" w:sz="2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thinThickSmallGap" w:sz="24" w:space="0" w:color="auto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  <w:tr w:rsidR="00A2034B" w:rsidTr="00E33142">
        <w:trPr>
          <w:trHeight w:val="335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Pr="006352D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Sutomore (šetalište kod spomenika)</w:t>
            </w:r>
          </w:p>
        </w:tc>
        <w:tc>
          <w:tcPr>
            <w:tcW w:w="1051" w:type="dxa"/>
            <w:vMerge w:val="restart"/>
            <w:tcBorders>
              <w:top w:val="thinThickSmallGap" w:sz="24" w:space="0" w:color="auto"/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E33142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</w:t>
            </w:r>
          </w:p>
          <w:p w:rsidR="00A2034B" w:rsidRDefault="00A2034B" w:rsidP="00E33142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E33142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  <w:p w:rsidR="00A2034B" w:rsidRDefault="00A2034B" w:rsidP="00E33142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5</w:t>
            </w:r>
          </w:p>
        </w:tc>
      </w:tr>
      <w:tr w:rsidR="00A2034B" w:rsidTr="00A2034B">
        <w:trPr>
          <w:trHeight w:val="570"/>
          <w:jc w:val="center"/>
        </w:trPr>
        <w:tc>
          <w:tcPr>
            <w:tcW w:w="58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2034B" w:rsidRDefault="00A2034B" w:rsidP="000504D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</w:p>
        </w:tc>
        <w:tc>
          <w:tcPr>
            <w:tcW w:w="2732" w:type="dxa"/>
            <w:vMerge/>
            <w:tcBorders>
              <w:left w:val="single" w:sz="8" w:space="0" w:color="000000"/>
              <w:right w:val="nil"/>
            </w:tcBorders>
          </w:tcPr>
          <w:p w:rsidR="00A2034B" w:rsidRDefault="00A2034B" w:rsidP="000504DA">
            <w:pPr>
              <w:spacing w:after="2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A2034B" w:rsidRDefault="00A2034B" w:rsidP="000504DA">
            <w:pPr>
              <w:tabs>
                <w:tab w:val="left" w:pos="3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Parking stub težine 170kg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A2034B" w:rsidRDefault="00A2034B" w:rsidP="000504D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</w:p>
        </w:tc>
      </w:tr>
    </w:tbl>
    <w:p w:rsidR="0060077F" w:rsidRDefault="0060077F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28D7" w:rsidRPr="00C83766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6905FE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 xml:space="preserve"> od dana prijema fakture</w:t>
      </w:r>
      <w:r w:rsidR="006905F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3855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izvršenje usluge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E3314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1F7436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</w:t>
      </w:r>
      <w:r w:rsidR="00F16376">
        <w:rPr>
          <w:rFonts w:ascii="Times New Roman" w:hAnsi="Times New Roman" w:cs="Times New Roman"/>
          <w:sz w:val="24"/>
          <w:szCs w:val="24"/>
          <w:lang w:val="sv-SE"/>
        </w:rPr>
        <w:t>dostavljanja Obavještenja o ishodu postupka nabavke male vrijednosti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E33142">
        <w:rPr>
          <w:rFonts w:ascii="Times New Roman" w:hAnsi="Times New Roman" w:cs="Times New Roman"/>
          <w:color w:val="000000"/>
          <w:sz w:val="24"/>
          <w:szCs w:val="24"/>
          <w:lang w:val="pl-PL"/>
        </w:rPr>
        <w:t>18.06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E33142">
        <w:rPr>
          <w:rFonts w:ascii="Times New Roman" w:hAnsi="Times New Roman" w:cs="Times New Roman"/>
          <w:color w:val="000000"/>
          <w:sz w:val="24"/>
          <w:szCs w:val="24"/>
          <w:lang w:val="pl-PL"/>
        </w:rPr>
        <w:t>18.06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E33142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F12F08">
        <w:rPr>
          <w:rFonts w:ascii="Times New Roman" w:hAnsi="Times New Roman" w:cs="Times New Roman"/>
          <w:sz w:val="24"/>
          <w:szCs w:val="24"/>
          <w:lang w:val="sv-SE"/>
        </w:rPr>
        <w:t xml:space="preserve">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Pr="004419E3" w:rsidRDefault="00F12F08" w:rsidP="00473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220443" w:rsidRPr="00852493" w:rsidRDefault="00220443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84E" w:rsidRPr="00852493" w:rsidRDefault="00E9484E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E95588" w:rsidRDefault="00E9558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588" w:rsidRDefault="00E9558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588" w:rsidRDefault="00E9558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 xml:space="preserve">Ukoliko ponuđač dostavi izjavu o ispunjenosti traženih uslova, dužan je da nakon prijema obavještenja o ishodu postupka nabavke male vrijednosti, a najkasnije do </w:t>
      </w:r>
      <w:r w:rsidR="004F3E48">
        <w:rPr>
          <w:rFonts w:ascii="Times New Roman" w:hAnsi="Times New Roman" w:cs="Times New Roman"/>
          <w:b/>
          <w:sz w:val="24"/>
          <w:szCs w:val="24"/>
        </w:rPr>
        <w:t>isporuke i ugradnje robe</w:t>
      </w:r>
      <w:r w:rsidRPr="008475DA">
        <w:rPr>
          <w:rFonts w:ascii="Times New Roman" w:hAnsi="Times New Roman" w:cs="Times New Roman"/>
          <w:b/>
          <w:sz w:val="24"/>
          <w:szCs w:val="24"/>
        </w:rPr>
        <w:t xml:space="preserve">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E33142" w:rsidRDefault="00E33142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42" w:rsidRDefault="00E33142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 OKONČANJE POSTUPKA NABAVKE MALE VRIJEDNOSTI</w:t>
      </w:r>
    </w:p>
    <w:p w:rsidR="00242902" w:rsidRPr="009509B7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902" w:rsidRPr="00AC4988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1 Pravilnika o sprovođenju postupaka nabavki male vrijednosti.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2A6F" w:rsidRPr="00FA079A" w:rsidRDefault="00E82A6F" w:rsidP="00E82A6F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SLUŽBENIK 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E82A6F" w:rsidRPr="00FA079A" w:rsidRDefault="00E82A6F" w:rsidP="00E82A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A6F" w:rsidRPr="00FA079A" w:rsidRDefault="00E82A6F" w:rsidP="00E82A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p w:rsidR="00E82A6F" w:rsidRDefault="00E82A6F" w:rsidP="00E82A6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2A6F" w:rsidRDefault="00E82A6F" w:rsidP="00E82A6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2A6F" w:rsidRDefault="00E82A6F" w:rsidP="00E82A6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3142" w:rsidRDefault="00E3314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E3314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nabavka i ugradnju betonskih proizvoda na više lokacija na teritoriji opštine Bar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E82A6F" w:rsidRDefault="004A7081" w:rsidP="00E82A6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2CF0" w:rsidRDefault="002D2CF0" w:rsidP="00C76EB8">
      <w:pPr>
        <w:tabs>
          <w:tab w:val="right" w:pos="8640"/>
        </w:tabs>
      </w:pPr>
    </w:p>
    <w:sectPr w:rsidR="002D2CF0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F0" w:rsidRDefault="006745F0" w:rsidP="004A7081">
      <w:pPr>
        <w:spacing w:after="0" w:line="240" w:lineRule="auto"/>
      </w:pPr>
      <w:r>
        <w:separator/>
      </w:r>
    </w:p>
  </w:endnote>
  <w:endnote w:type="continuationSeparator" w:id="1">
    <w:p w:rsidR="006745F0" w:rsidRDefault="006745F0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DA" w:rsidRDefault="00050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0504DA" w:rsidRDefault="000504DA" w:rsidP="00AD3CA2">
        <w:pPr>
          <w:jc w:val="right"/>
        </w:pPr>
        <w:r>
          <w:t xml:space="preserve">Strana  </w:t>
        </w:r>
        <w:fldSimple w:instr=" PAGE ">
          <w:r w:rsidR="005C6CA5">
            <w:rPr>
              <w:noProof/>
            </w:rPr>
            <w:t>5</w:t>
          </w:r>
        </w:fldSimple>
        <w:r>
          <w:t xml:space="preserve"> od </w:t>
        </w:r>
        <w:fldSimple w:instr=" NUMPAGES  ">
          <w:r w:rsidR="005C6CA5">
            <w:rPr>
              <w:noProof/>
            </w:rPr>
            <w:t>12</w:t>
          </w:r>
        </w:fldSimple>
      </w:p>
    </w:sdtContent>
  </w:sdt>
  <w:p w:rsidR="000504DA" w:rsidRPr="000074F9" w:rsidRDefault="000504DA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DA" w:rsidRDefault="00050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F0" w:rsidRDefault="006745F0" w:rsidP="004A7081">
      <w:pPr>
        <w:spacing w:after="0" w:line="240" w:lineRule="auto"/>
      </w:pPr>
      <w:r>
        <w:separator/>
      </w:r>
    </w:p>
  </w:footnote>
  <w:footnote w:type="continuationSeparator" w:id="1">
    <w:p w:rsidR="006745F0" w:rsidRDefault="006745F0" w:rsidP="004A7081">
      <w:pPr>
        <w:spacing w:after="0" w:line="240" w:lineRule="auto"/>
      </w:pPr>
      <w:r>
        <w:continuationSeparator/>
      </w:r>
    </w:p>
  </w:footnote>
  <w:footnote w:id="2">
    <w:p w:rsidR="000504DA" w:rsidRPr="007E1F59" w:rsidRDefault="000504DA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0504DA" w:rsidRDefault="000504DA" w:rsidP="004A7081">
      <w:pPr>
        <w:pStyle w:val="FootnoteText"/>
        <w:rPr>
          <w:rFonts w:cs="Times New Roman"/>
        </w:rPr>
      </w:pPr>
    </w:p>
  </w:footnote>
  <w:footnote w:id="3">
    <w:p w:rsidR="000504DA" w:rsidRPr="007E1F59" w:rsidRDefault="000504DA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0504DA" w:rsidRDefault="000504DA" w:rsidP="004A7081">
      <w:pPr>
        <w:pStyle w:val="FootnoteText"/>
        <w:jc w:val="both"/>
        <w:rPr>
          <w:rFonts w:cs="Times New Roman"/>
        </w:rPr>
      </w:pPr>
    </w:p>
  </w:footnote>
  <w:footnote w:id="4">
    <w:p w:rsidR="000504DA" w:rsidRDefault="000504DA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0504DA" w:rsidRPr="00FA6401" w:rsidRDefault="000504DA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DA" w:rsidRDefault="00050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DA" w:rsidRDefault="000504DA">
    <w:pPr>
      <w:pStyle w:val="Header"/>
      <w:jc w:val="right"/>
      <w:rPr>
        <w:rFonts w:cs="Times New Roman"/>
      </w:rPr>
    </w:pPr>
  </w:p>
  <w:p w:rsidR="000504DA" w:rsidRDefault="000504DA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DA" w:rsidRDefault="00050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504DA"/>
    <w:rsid w:val="000701CE"/>
    <w:rsid w:val="00070F04"/>
    <w:rsid w:val="00087BAB"/>
    <w:rsid w:val="000965AF"/>
    <w:rsid w:val="000B698C"/>
    <w:rsid w:val="000C0B80"/>
    <w:rsid w:val="000D0D74"/>
    <w:rsid w:val="000F0AB4"/>
    <w:rsid w:val="001249F7"/>
    <w:rsid w:val="00131DB9"/>
    <w:rsid w:val="00132AE3"/>
    <w:rsid w:val="00153C1A"/>
    <w:rsid w:val="00157852"/>
    <w:rsid w:val="001A005C"/>
    <w:rsid w:val="001B3831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4263"/>
    <w:rsid w:val="0021583C"/>
    <w:rsid w:val="00220443"/>
    <w:rsid w:val="002214F3"/>
    <w:rsid w:val="002251C3"/>
    <w:rsid w:val="00227985"/>
    <w:rsid w:val="00242902"/>
    <w:rsid w:val="00245F62"/>
    <w:rsid w:val="00266885"/>
    <w:rsid w:val="00280917"/>
    <w:rsid w:val="002978B3"/>
    <w:rsid w:val="002C2713"/>
    <w:rsid w:val="002D1446"/>
    <w:rsid w:val="002D2CF0"/>
    <w:rsid w:val="002F4D82"/>
    <w:rsid w:val="0031721B"/>
    <w:rsid w:val="0034509A"/>
    <w:rsid w:val="00345D8C"/>
    <w:rsid w:val="003479FC"/>
    <w:rsid w:val="00351CCE"/>
    <w:rsid w:val="003836C3"/>
    <w:rsid w:val="003855D7"/>
    <w:rsid w:val="003D6482"/>
    <w:rsid w:val="003E31FA"/>
    <w:rsid w:val="003F0042"/>
    <w:rsid w:val="003F5869"/>
    <w:rsid w:val="003F6AD1"/>
    <w:rsid w:val="00402D90"/>
    <w:rsid w:val="004050CE"/>
    <w:rsid w:val="0042166B"/>
    <w:rsid w:val="00441F14"/>
    <w:rsid w:val="00443468"/>
    <w:rsid w:val="00473D8C"/>
    <w:rsid w:val="004A7081"/>
    <w:rsid w:val="004B494F"/>
    <w:rsid w:val="004F3E48"/>
    <w:rsid w:val="00502069"/>
    <w:rsid w:val="00512AB2"/>
    <w:rsid w:val="005166C9"/>
    <w:rsid w:val="00536436"/>
    <w:rsid w:val="00544731"/>
    <w:rsid w:val="00567CD5"/>
    <w:rsid w:val="005739B0"/>
    <w:rsid w:val="005A14EC"/>
    <w:rsid w:val="005C6CA5"/>
    <w:rsid w:val="0060077F"/>
    <w:rsid w:val="0060574E"/>
    <w:rsid w:val="00610E73"/>
    <w:rsid w:val="00617AD5"/>
    <w:rsid w:val="00643A08"/>
    <w:rsid w:val="00643D4A"/>
    <w:rsid w:val="00645CE5"/>
    <w:rsid w:val="00645DF8"/>
    <w:rsid w:val="00664201"/>
    <w:rsid w:val="0066601A"/>
    <w:rsid w:val="006716DD"/>
    <w:rsid w:val="006745F0"/>
    <w:rsid w:val="006821BF"/>
    <w:rsid w:val="006842B5"/>
    <w:rsid w:val="006905FE"/>
    <w:rsid w:val="006D28D7"/>
    <w:rsid w:val="006D689C"/>
    <w:rsid w:val="006E4500"/>
    <w:rsid w:val="006F57DF"/>
    <w:rsid w:val="007105BD"/>
    <w:rsid w:val="00741946"/>
    <w:rsid w:val="00742153"/>
    <w:rsid w:val="00762A6A"/>
    <w:rsid w:val="00771863"/>
    <w:rsid w:val="00784BA2"/>
    <w:rsid w:val="007931FE"/>
    <w:rsid w:val="007B3F38"/>
    <w:rsid w:val="007D4DBE"/>
    <w:rsid w:val="007F0830"/>
    <w:rsid w:val="0083445F"/>
    <w:rsid w:val="008445C2"/>
    <w:rsid w:val="00844A88"/>
    <w:rsid w:val="0086505F"/>
    <w:rsid w:val="00887DD0"/>
    <w:rsid w:val="008B1B63"/>
    <w:rsid w:val="008B5D6D"/>
    <w:rsid w:val="008C39A1"/>
    <w:rsid w:val="008C7A6F"/>
    <w:rsid w:val="008D2D43"/>
    <w:rsid w:val="00900A3B"/>
    <w:rsid w:val="009052E2"/>
    <w:rsid w:val="0090714D"/>
    <w:rsid w:val="00914214"/>
    <w:rsid w:val="0092128D"/>
    <w:rsid w:val="00930197"/>
    <w:rsid w:val="00944AFF"/>
    <w:rsid w:val="009601BF"/>
    <w:rsid w:val="00965AA6"/>
    <w:rsid w:val="00973C66"/>
    <w:rsid w:val="009769CC"/>
    <w:rsid w:val="009C5F6A"/>
    <w:rsid w:val="00A02AB6"/>
    <w:rsid w:val="00A03D9A"/>
    <w:rsid w:val="00A07F44"/>
    <w:rsid w:val="00A2034B"/>
    <w:rsid w:val="00A30458"/>
    <w:rsid w:val="00A54621"/>
    <w:rsid w:val="00A860A4"/>
    <w:rsid w:val="00AA66E9"/>
    <w:rsid w:val="00AD3CA2"/>
    <w:rsid w:val="00AE673E"/>
    <w:rsid w:val="00AF6931"/>
    <w:rsid w:val="00B037F5"/>
    <w:rsid w:val="00B2247E"/>
    <w:rsid w:val="00B359B8"/>
    <w:rsid w:val="00B36EA2"/>
    <w:rsid w:val="00B47126"/>
    <w:rsid w:val="00B520B8"/>
    <w:rsid w:val="00B83DF0"/>
    <w:rsid w:val="00B96086"/>
    <w:rsid w:val="00BA16F2"/>
    <w:rsid w:val="00BB2676"/>
    <w:rsid w:val="00BC0EBB"/>
    <w:rsid w:val="00BC0EDA"/>
    <w:rsid w:val="00BC5EF1"/>
    <w:rsid w:val="00BD074A"/>
    <w:rsid w:val="00BE25E0"/>
    <w:rsid w:val="00BF73C7"/>
    <w:rsid w:val="00C208B2"/>
    <w:rsid w:val="00C348E8"/>
    <w:rsid w:val="00C36F15"/>
    <w:rsid w:val="00C40223"/>
    <w:rsid w:val="00C529CA"/>
    <w:rsid w:val="00C53D45"/>
    <w:rsid w:val="00C66761"/>
    <w:rsid w:val="00C76EB8"/>
    <w:rsid w:val="00CA0FEE"/>
    <w:rsid w:val="00D04F54"/>
    <w:rsid w:val="00D0605A"/>
    <w:rsid w:val="00D21D76"/>
    <w:rsid w:val="00D47546"/>
    <w:rsid w:val="00D80F27"/>
    <w:rsid w:val="00D846E1"/>
    <w:rsid w:val="00D8598C"/>
    <w:rsid w:val="00DA5599"/>
    <w:rsid w:val="00DD3FA2"/>
    <w:rsid w:val="00DE5AA7"/>
    <w:rsid w:val="00DF785E"/>
    <w:rsid w:val="00E14DA4"/>
    <w:rsid w:val="00E33142"/>
    <w:rsid w:val="00E5469E"/>
    <w:rsid w:val="00E700D9"/>
    <w:rsid w:val="00E82A6F"/>
    <w:rsid w:val="00E83D12"/>
    <w:rsid w:val="00E87C82"/>
    <w:rsid w:val="00E9484E"/>
    <w:rsid w:val="00E95588"/>
    <w:rsid w:val="00EA1BE7"/>
    <w:rsid w:val="00EC3E12"/>
    <w:rsid w:val="00EF08FB"/>
    <w:rsid w:val="00EF15C6"/>
    <w:rsid w:val="00F03B66"/>
    <w:rsid w:val="00F102E6"/>
    <w:rsid w:val="00F12F08"/>
    <w:rsid w:val="00F16376"/>
    <w:rsid w:val="00F44149"/>
    <w:rsid w:val="00F47A89"/>
    <w:rsid w:val="00F55E01"/>
    <w:rsid w:val="00F70447"/>
    <w:rsid w:val="00FA079A"/>
    <w:rsid w:val="00FC172A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D9A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2B5-6641-412B-BA35-A396D45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136</cp:revision>
  <cp:lastPrinted>2018-06-13T07:34:00Z</cp:lastPrinted>
  <dcterms:created xsi:type="dcterms:W3CDTF">2017-10-18T06:47:00Z</dcterms:created>
  <dcterms:modified xsi:type="dcterms:W3CDTF">2018-06-13T08:42:00Z</dcterms:modified>
</cp:coreProperties>
</file>